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DBFDB" w14:textId="77777777" w:rsidR="00CF32E6" w:rsidRDefault="00C67B4D">
      <w:pPr>
        <w:spacing w:after="337"/>
        <w:ind w:left="128"/>
      </w:pPr>
      <w:r>
        <w:rPr>
          <w:noProof/>
        </w:rPr>
        <w:drawing>
          <wp:inline distT="0" distB="0" distL="0" distR="0" wp14:anchorId="1E908258" wp14:editId="28E51A99">
            <wp:extent cx="1898035" cy="1031631"/>
            <wp:effectExtent l="0" t="0" r="0" b="0"/>
            <wp:docPr id="4867" name="Picture 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" name="Picture 48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8035" cy="103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60E8D" w14:textId="77777777" w:rsidR="00CF32E6" w:rsidRDefault="00C67B4D">
      <w:pPr>
        <w:spacing w:after="552" w:line="305" w:lineRule="auto"/>
        <w:ind w:left="2331" w:hanging="10"/>
      </w:pPr>
      <w:r>
        <w:rPr>
          <w:noProof/>
        </w:rPr>
        <w:drawing>
          <wp:inline distT="0" distB="0" distL="0" distR="0" wp14:anchorId="783A34FF" wp14:editId="6C101D89">
            <wp:extent cx="3534" cy="14132"/>
            <wp:effectExtent l="0" t="0" r="0" b="0"/>
            <wp:docPr id="4850" name="Picture 4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" name="Picture 48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1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SWEPC CO-OP and EPC Procurement Policy</w:t>
      </w:r>
    </w:p>
    <w:p w14:paraId="31A8F078" w14:textId="77777777" w:rsidR="00CF32E6" w:rsidRDefault="00C67B4D">
      <w:pPr>
        <w:spacing w:after="505" w:line="305" w:lineRule="auto"/>
        <w:ind w:left="101" w:hanging="10"/>
      </w:pPr>
      <w:r>
        <w:rPr>
          <w:sz w:val="38"/>
        </w:rPr>
        <w:t>Statement of Cost/Price Analysis prior to Bidding:</w:t>
      </w:r>
    </w:p>
    <w:p w14:paraId="391DFCBF" w14:textId="71D7BAE7" w:rsidR="00CF32E6" w:rsidRDefault="00C67B4D">
      <w:pPr>
        <w:spacing w:after="655" w:line="234" w:lineRule="auto"/>
        <w:ind w:left="85" w:right="963" w:firstLine="278"/>
        <w:jc w:val="both"/>
        <w:rPr>
          <w:sz w:val="26"/>
        </w:rPr>
      </w:pPr>
      <w:r>
        <w:rPr>
          <w:sz w:val="26"/>
        </w:rPr>
        <w:t xml:space="preserve">Prior to doing an RFP for all bids, the SWEPC Coop and EPC, </w:t>
      </w:r>
      <w:r w:rsidR="0018588B">
        <w:rPr>
          <w:sz w:val="26"/>
        </w:rPr>
        <w:t>on behalf of our members, checks</w:t>
      </w:r>
      <w:r>
        <w:rPr>
          <w:sz w:val="26"/>
        </w:rPr>
        <w:t xml:space="preserve"> current food market trends to get an idea of what type of bid price changes to expect. This will be done by looking online at </w:t>
      </w:r>
      <w:r w:rsidR="00315C7A">
        <w:rPr>
          <w:sz w:val="26"/>
        </w:rPr>
        <w:t>the US</w:t>
      </w:r>
      <w:r w:rsidR="0018588B">
        <w:rPr>
          <w:sz w:val="26"/>
        </w:rPr>
        <w:t xml:space="preserve"> Bureau of Labor Statistics</w:t>
      </w:r>
      <w:r w:rsidR="00315C7A">
        <w:rPr>
          <w:sz w:val="26"/>
        </w:rPr>
        <w:t xml:space="preserve"> for the producer price index report. </w:t>
      </w:r>
      <w:r w:rsidR="0018588B">
        <w:rPr>
          <w:sz w:val="26"/>
        </w:rPr>
        <w:t xml:space="preserve"> </w:t>
      </w:r>
    </w:p>
    <w:p w14:paraId="48AF5BE6" w14:textId="77777777" w:rsidR="00F118CA" w:rsidRDefault="00F118CA" w:rsidP="00F118CA">
      <w:pPr>
        <w:spacing w:after="655" w:line="234" w:lineRule="auto"/>
        <w:ind w:left="85" w:right="963" w:firstLine="278"/>
        <w:jc w:val="both"/>
        <w:rPr>
          <w:color w:val="2E74B5" w:themeColor="accent1" w:themeShade="BF"/>
          <w:sz w:val="26"/>
          <w:u w:val="single"/>
        </w:rPr>
      </w:pPr>
      <w:hyperlink r:id="rId6" w:history="1">
        <w:r w:rsidRPr="00A410E7">
          <w:rPr>
            <w:rStyle w:val="Hyperlink"/>
            <w:color w:val="034990" w:themeColor="hyperlink" w:themeShade="BF"/>
            <w:sz w:val="26"/>
          </w:rPr>
          <w:t>https://www.bls.gov/ppi/detailed-report</w:t>
        </w:r>
      </w:hyperlink>
    </w:p>
    <w:p w14:paraId="6914642D" w14:textId="77777777" w:rsidR="00F118CA" w:rsidRDefault="00F118CA">
      <w:pPr>
        <w:spacing w:after="655" w:line="234" w:lineRule="auto"/>
        <w:ind w:left="85" w:right="963" w:firstLine="278"/>
        <w:jc w:val="both"/>
        <w:rPr>
          <w:color w:val="2E74B5" w:themeColor="accent1" w:themeShade="BF"/>
          <w:sz w:val="26"/>
          <w:u w:val="single"/>
        </w:rPr>
      </w:pPr>
    </w:p>
    <w:p w14:paraId="1CC54102" w14:textId="0E4149B0" w:rsidR="00CF32E6" w:rsidRDefault="0018588B" w:rsidP="00F118CA">
      <w:pPr>
        <w:spacing w:after="655" w:line="234" w:lineRule="auto"/>
        <w:ind w:left="85" w:right="963" w:firstLine="278"/>
        <w:jc w:val="both"/>
      </w:pPr>
      <w:r>
        <w:t xml:space="preserve"> </w:t>
      </w:r>
      <w:r w:rsidRPr="0018588B">
        <w:t xml:space="preserve">    </w:t>
      </w:r>
    </w:p>
    <w:p w14:paraId="03134023" w14:textId="77777777" w:rsidR="0018588B" w:rsidRPr="0018588B" w:rsidRDefault="0018588B" w:rsidP="0018588B"/>
    <w:p w14:paraId="4EE3BDDC" w14:textId="77777777" w:rsidR="0018588B" w:rsidRDefault="0018588B" w:rsidP="0018588B"/>
    <w:p w14:paraId="5CEE4ADE" w14:textId="77777777" w:rsidR="0018588B" w:rsidRPr="0018588B" w:rsidRDefault="0018588B" w:rsidP="0018588B"/>
    <w:p w14:paraId="1F40BA95" w14:textId="77777777" w:rsidR="0018588B" w:rsidRDefault="0018588B" w:rsidP="0018588B"/>
    <w:p w14:paraId="480AC76E" w14:textId="77777777" w:rsidR="0018588B" w:rsidRPr="0018588B" w:rsidRDefault="0018588B" w:rsidP="0018588B"/>
    <w:p w14:paraId="14939467" w14:textId="77777777" w:rsidR="0018588B" w:rsidRDefault="0018588B" w:rsidP="0018588B"/>
    <w:sectPr w:rsidR="0018588B">
      <w:pgSz w:w="12240" w:h="15840"/>
      <w:pgMar w:top="480" w:right="601" w:bottom="123" w:left="4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E6"/>
    <w:rsid w:val="0018588B"/>
    <w:rsid w:val="00205A17"/>
    <w:rsid w:val="00315C7A"/>
    <w:rsid w:val="0047441D"/>
    <w:rsid w:val="00C67B4D"/>
    <w:rsid w:val="00CF32E6"/>
    <w:rsid w:val="00DF0016"/>
    <w:rsid w:val="00EC73F8"/>
    <w:rsid w:val="00EF74B6"/>
    <w:rsid w:val="00F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6DC7"/>
  <w15:docId w15:val="{32EF21AA-1B94-44C8-924F-48934851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49"/>
      <w:ind w:left="106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DF0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s.gov/ppi/detailed-repor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Bonnie Muckenthaler</cp:lastModifiedBy>
  <cp:revision>5</cp:revision>
  <dcterms:created xsi:type="dcterms:W3CDTF">2023-03-02T18:08:00Z</dcterms:created>
  <dcterms:modified xsi:type="dcterms:W3CDTF">2024-10-15T17:04:00Z</dcterms:modified>
</cp:coreProperties>
</file>